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340"/>
      </w:pPr>
      <w:bookmarkStart w:id="0" w:name="_Toc27323"/>
      <w:r>
        <w:rPr>
          <w:rFonts w:ascii="仿宋_GB2312" w:hAnsi="仿宋_GB2312" w:eastAsia="仿宋_GB2312" w:cs="仿宋_GB2312"/>
          <w:sz w:val="40"/>
          <w:szCs w:val="40"/>
        </w:rPr>
        <w:drawing>
          <wp:anchor distT="0" distB="0" distL="114300" distR="114300" simplePos="0" relativeHeight="251659264" behindDoc="0" locked="0" layoutInCell="1" allowOverlap="1">
            <wp:simplePos x="0" y="0"/>
            <wp:positionH relativeFrom="column">
              <wp:posOffset>-76200</wp:posOffset>
            </wp:positionH>
            <wp:positionV relativeFrom="paragraph">
              <wp:posOffset>112395</wp:posOffset>
            </wp:positionV>
            <wp:extent cx="1263650" cy="415925"/>
            <wp:effectExtent l="0" t="0" r="1270" b="10795"/>
            <wp:wrapNone/>
            <wp:docPr id="1" name="图片 3" descr="wps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wps1609"/>
                    <pic:cNvPicPr>
                      <a:picLocks noChangeAspect="1"/>
                    </pic:cNvPicPr>
                  </pic:nvPicPr>
                  <pic:blipFill>
                    <a:blip r:embed="rId5" cstate="print"/>
                    <a:stretch>
                      <a:fillRect/>
                    </a:stretch>
                  </pic:blipFill>
                  <pic:spPr>
                    <a:xfrm>
                      <a:off x="0" y="0"/>
                      <a:ext cx="1263650" cy="415925"/>
                    </a:xfrm>
                    <a:prstGeom prst="rect">
                      <a:avLst/>
                    </a:prstGeom>
                    <a:noFill/>
                    <a:ln>
                      <a:noFill/>
                    </a:ln>
                  </pic:spPr>
                </pic:pic>
              </a:graphicData>
            </a:graphic>
          </wp:anchor>
        </w:drawing>
      </w:r>
      <w:r>
        <w:rPr>
          <w:rFonts w:hint="eastAsia"/>
        </w:rPr>
        <w:t xml:space="preserve">  证券查询申请表</w:t>
      </w:r>
      <w:r>
        <w:rPr>
          <w:rFonts w:hint="eastAsia"/>
          <w:sz w:val="24"/>
          <w:szCs w:val="24"/>
        </w:rPr>
        <w:t>（本公司营业大厅适用）</w:t>
      </w:r>
      <w:bookmarkEnd w:id="0"/>
    </w:p>
    <w:tbl>
      <w:tblPr>
        <w:tblStyle w:val="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424"/>
        <w:gridCol w:w="1545"/>
        <w:gridCol w:w="2193"/>
        <w:gridCol w:w="24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5000" w:type="pct"/>
            <w:gridSpan w:val="4"/>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bookmarkStart w:id="1" w:name="_Toc32140_WPSOffice_Level1"/>
            <w:r>
              <w:rPr>
                <w:rFonts w:hint="eastAsia" w:ascii="仿宋_GB2312" w:hAnsi="仿宋_GB2312" w:eastAsia="仿宋_GB2312" w:cs="仿宋_GB2312"/>
                <w:b/>
                <w:bCs/>
                <w:sz w:val="28"/>
                <w:szCs w:val="28"/>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exact"/>
          <w:jc w:val="center"/>
        </w:trPr>
        <w:tc>
          <w:tcPr>
            <w:tcW w:w="1789" w:type="pct"/>
            <w:tcBorders>
              <w:bottom w:val="single" w:color="000000"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证券账户持有人姓名/全称</w:t>
            </w:r>
          </w:p>
        </w:tc>
        <w:tc>
          <w:tcPr>
            <w:tcW w:w="3210" w:type="pct"/>
            <w:gridSpan w:val="3"/>
            <w:tcBorders>
              <w:bottom w:val="single" w:color="000000" w:sz="4" w:space="0"/>
            </w:tcBorders>
            <w:vAlign w:val="center"/>
          </w:tcPr>
          <w:p>
            <w:pPr>
              <w:spacing w:line="24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exact"/>
          <w:jc w:val="center"/>
        </w:trPr>
        <w:tc>
          <w:tcPr>
            <w:tcW w:w="1789" w:type="pct"/>
            <w:tcBorders>
              <w:bottom w:val="single" w:color="000000"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身份证明文件类型</w:t>
            </w:r>
          </w:p>
        </w:tc>
        <w:tc>
          <w:tcPr>
            <w:tcW w:w="3210" w:type="pct"/>
            <w:gridSpan w:val="3"/>
            <w:tcBorders>
              <w:bottom w:val="single" w:color="000000" w:sz="4" w:space="0"/>
            </w:tcBorders>
            <w:vAlign w:val="center"/>
          </w:tcPr>
          <w:p>
            <w:pPr>
              <w:spacing w:line="24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exact"/>
          <w:jc w:val="center"/>
        </w:trPr>
        <w:tc>
          <w:tcPr>
            <w:tcW w:w="1789" w:type="pct"/>
            <w:tcBorders>
              <w:bottom w:val="single" w:color="000000"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身份证明文件号码</w:t>
            </w:r>
          </w:p>
        </w:tc>
        <w:tc>
          <w:tcPr>
            <w:tcW w:w="3210" w:type="pct"/>
            <w:gridSpan w:val="3"/>
            <w:tcBorders>
              <w:bottom w:val="single" w:color="000000" w:sz="4" w:space="0"/>
            </w:tcBorders>
            <w:vAlign w:val="center"/>
          </w:tcPr>
          <w:p>
            <w:pPr>
              <w:spacing w:line="24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exact"/>
          <w:jc w:val="center"/>
        </w:trPr>
        <w:tc>
          <w:tcPr>
            <w:tcW w:w="1789" w:type="pct"/>
            <w:tcBorders>
              <w:bottom w:val="single" w:color="000000"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证券账户/衍生品合约账户号码</w:t>
            </w:r>
          </w:p>
        </w:tc>
        <w:tc>
          <w:tcPr>
            <w:tcW w:w="3210" w:type="pct"/>
            <w:gridSpan w:val="3"/>
            <w:tcBorders>
              <w:bottom w:val="single" w:color="000000" w:sz="4" w:space="0"/>
            </w:tcBorders>
            <w:vAlign w:val="center"/>
          </w:tcPr>
          <w:p>
            <w:pPr>
              <w:spacing w:line="24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789" w:type="pct"/>
            <w:vMerge w:val="restart"/>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交易市场及证券品种</w:t>
            </w:r>
          </w:p>
        </w:tc>
        <w:tc>
          <w:tcPr>
            <w:tcW w:w="807" w:type="pct"/>
            <w:tcBorders>
              <w:bottom w:val="single" w:color="auto" w:sz="4" w:space="0"/>
              <w:right w:val="single" w:color="auto"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上海市场</w:t>
            </w:r>
          </w:p>
        </w:tc>
        <w:tc>
          <w:tcPr>
            <w:tcW w:w="1146" w:type="pct"/>
            <w:tcBorders>
              <w:left w:val="single" w:color="auto" w:sz="4" w:space="0"/>
              <w:bottom w:val="single" w:color="auto" w:sz="4" w:space="0"/>
              <w:right w:val="single" w:color="auto"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深圳市场</w:t>
            </w:r>
          </w:p>
        </w:tc>
        <w:tc>
          <w:tcPr>
            <w:tcW w:w="1256" w:type="pct"/>
            <w:tcBorders>
              <w:left w:val="single" w:color="auto" w:sz="4" w:space="0"/>
              <w:bottom w:val="single" w:color="auto"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北京市场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1" w:hRule="exact"/>
          <w:jc w:val="center"/>
        </w:trPr>
        <w:tc>
          <w:tcPr>
            <w:tcW w:w="1789" w:type="pct"/>
            <w:vMerge w:val="continue"/>
            <w:tcBorders>
              <w:bottom w:val="single" w:color="000000" w:sz="4" w:space="0"/>
            </w:tcBorders>
            <w:vAlign w:val="center"/>
          </w:tcPr>
          <w:p>
            <w:pPr>
              <w:spacing w:line="240" w:lineRule="exact"/>
              <w:rPr>
                <w:rFonts w:ascii="仿宋_GB2312" w:hAnsi="仿宋_GB2312" w:eastAsia="仿宋_GB2312" w:cs="仿宋_GB2312"/>
              </w:rPr>
            </w:pPr>
          </w:p>
        </w:tc>
        <w:tc>
          <w:tcPr>
            <w:tcW w:w="807" w:type="pct"/>
            <w:tcBorders>
              <w:top w:val="single" w:color="auto" w:sz="4" w:space="0"/>
              <w:bottom w:val="single" w:color="000000" w:sz="4" w:space="0"/>
              <w:right w:val="single" w:color="auto"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□A股、债券等</w:t>
            </w:r>
          </w:p>
          <w:p>
            <w:pPr>
              <w:spacing w:line="240" w:lineRule="exact"/>
              <w:rPr>
                <w:rFonts w:ascii="仿宋_GB2312" w:hAnsi="仿宋_GB2312" w:eastAsia="仿宋_GB2312" w:cs="仿宋_GB2312"/>
              </w:rPr>
            </w:pPr>
            <w:r>
              <w:rPr>
                <w:rFonts w:hint="eastAsia" w:ascii="仿宋_GB2312" w:hAnsi="仿宋_GB2312" w:eastAsia="仿宋_GB2312" w:cs="仿宋_GB2312"/>
              </w:rPr>
              <w:t>□B股</w:t>
            </w:r>
          </w:p>
          <w:p>
            <w:pPr>
              <w:spacing w:line="240" w:lineRule="exact"/>
              <w:rPr>
                <w:rFonts w:ascii="仿宋_GB2312" w:hAnsi="仿宋_GB2312" w:eastAsia="仿宋_GB2312" w:cs="仿宋_GB2312"/>
              </w:rPr>
            </w:pPr>
            <w:r>
              <w:rPr>
                <w:rFonts w:hint="eastAsia" w:ascii="仿宋_GB2312" w:hAnsi="仿宋_GB2312" w:eastAsia="仿宋_GB2312" w:cs="仿宋_GB2312"/>
              </w:rPr>
              <w:t>□港股通证券</w:t>
            </w:r>
          </w:p>
          <w:p>
            <w:pPr>
              <w:spacing w:line="240" w:lineRule="exact"/>
              <w:rPr>
                <w:rFonts w:ascii="仿宋_GB2312" w:hAnsi="仿宋_GB2312" w:eastAsia="仿宋_GB2312" w:cs="仿宋_GB2312"/>
                <w:u w:val="single"/>
              </w:rPr>
            </w:pPr>
            <w:r>
              <w:rPr>
                <w:rFonts w:hint="eastAsia" w:ascii="仿宋_GB2312" w:hAnsi="仿宋_GB2312" w:eastAsia="仿宋_GB2312" w:cs="仿宋_GB2312"/>
              </w:rPr>
              <w:t>□衍生品合约</w:t>
            </w:r>
          </w:p>
          <w:p>
            <w:pPr>
              <w:spacing w:line="240" w:lineRule="exact"/>
              <w:rPr>
                <w:rFonts w:ascii="仿宋_GB2312" w:hAnsi="仿宋_GB2312" w:eastAsia="仿宋_GB2312" w:cs="仿宋_GB2312"/>
              </w:rPr>
            </w:pPr>
          </w:p>
        </w:tc>
        <w:tc>
          <w:tcPr>
            <w:tcW w:w="1146" w:type="pct"/>
            <w:tcBorders>
              <w:top w:val="single" w:color="auto" w:sz="4" w:space="0"/>
              <w:left w:val="single" w:color="auto" w:sz="4" w:space="0"/>
              <w:bottom w:val="single" w:color="000000" w:sz="4" w:space="0"/>
              <w:right w:val="single" w:color="auto"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□A股、债券等</w:t>
            </w:r>
          </w:p>
          <w:p>
            <w:pPr>
              <w:spacing w:line="240" w:lineRule="exact"/>
              <w:rPr>
                <w:rFonts w:ascii="仿宋_GB2312" w:hAnsi="仿宋_GB2312" w:eastAsia="仿宋_GB2312" w:cs="仿宋_GB2312"/>
              </w:rPr>
            </w:pPr>
            <w:r>
              <w:rPr>
                <w:rFonts w:hint="eastAsia" w:ascii="仿宋_GB2312" w:hAnsi="仿宋_GB2312" w:eastAsia="仿宋_GB2312" w:cs="仿宋_GB2312"/>
              </w:rPr>
              <w:t>□B股</w:t>
            </w:r>
          </w:p>
          <w:p>
            <w:pPr>
              <w:spacing w:line="240" w:lineRule="exact"/>
              <w:rPr>
                <w:rFonts w:ascii="仿宋_GB2312" w:hAnsi="仿宋_GB2312" w:eastAsia="仿宋_GB2312" w:cs="仿宋_GB2312"/>
              </w:rPr>
            </w:pPr>
            <w:r>
              <w:rPr>
                <w:rFonts w:hint="eastAsia" w:ascii="仿宋_GB2312" w:hAnsi="仿宋_GB2312" w:eastAsia="仿宋_GB2312" w:cs="仿宋_GB2312"/>
              </w:rPr>
              <w:t>□港股通证券</w:t>
            </w:r>
          </w:p>
          <w:p>
            <w:pPr>
              <w:spacing w:line="240" w:lineRule="exact"/>
              <w:rPr>
                <w:rFonts w:ascii="仿宋_GB2312" w:hAnsi="仿宋_GB2312" w:eastAsia="仿宋_GB2312" w:cs="仿宋_GB2312"/>
              </w:rPr>
            </w:pPr>
            <w:r>
              <w:rPr>
                <w:rFonts w:hint="eastAsia" w:ascii="仿宋_GB2312" w:hAnsi="仿宋_GB2312" w:eastAsia="仿宋_GB2312" w:cs="仿宋_GB2312"/>
              </w:rPr>
              <w:t>□H股“全流通”股份</w:t>
            </w:r>
          </w:p>
          <w:p>
            <w:pPr>
              <w:spacing w:line="240" w:lineRule="exact"/>
              <w:rPr>
                <w:rFonts w:ascii="仿宋_GB2312" w:hAnsi="仿宋_GB2312" w:eastAsia="仿宋_GB2312" w:cs="仿宋_GB2312"/>
                <w:u w:val="single"/>
              </w:rPr>
            </w:pPr>
            <w:r>
              <w:rPr>
                <w:rFonts w:hint="eastAsia" w:ascii="仿宋_GB2312" w:hAnsi="仿宋_GB2312" w:eastAsia="仿宋_GB2312" w:cs="仿宋_GB2312"/>
              </w:rPr>
              <w:t>□衍生品合约</w:t>
            </w:r>
          </w:p>
          <w:p>
            <w:pPr>
              <w:spacing w:line="240" w:lineRule="exact"/>
              <w:rPr>
                <w:rFonts w:ascii="仿宋_GB2312" w:hAnsi="仿宋_GB2312" w:eastAsia="仿宋_GB2312" w:cs="仿宋_GB2312"/>
              </w:rPr>
            </w:pPr>
          </w:p>
          <w:p>
            <w:pPr>
              <w:spacing w:line="240" w:lineRule="exact"/>
              <w:rPr>
                <w:rFonts w:ascii="仿宋_GB2312" w:hAnsi="仿宋_GB2312" w:eastAsia="仿宋_GB2312" w:cs="仿宋_GB2312"/>
              </w:rPr>
            </w:pPr>
          </w:p>
        </w:tc>
        <w:tc>
          <w:tcPr>
            <w:tcW w:w="1256" w:type="pct"/>
            <w:tcBorders>
              <w:top w:val="single" w:color="auto" w:sz="4" w:space="0"/>
              <w:left w:val="single" w:color="auto" w:sz="4" w:space="0"/>
              <w:bottom w:val="single" w:color="000000" w:sz="4" w:space="0"/>
            </w:tcBorders>
            <w:vAlign w:val="center"/>
          </w:tcPr>
          <w:p>
            <w:pPr>
              <w:spacing w:line="240" w:lineRule="exact"/>
              <w:rPr>
                <w:rFonts w:ascii="仿宋_GB2312" w:hAnsi="仿宋_GB2312" w:eastAsia="仿宋_GB2312" w:cs="仿宋_GB2312"/>
              </w:rPr>
            </w:pPr>
            <w:r>
              <w:rPr>
                <w:rFonts w:hint="eastAsia" w:ascii="仿宋_GB2312" w:hAnsi="仿宋_GB2312" w:eastAsia="仿宋_GB2312" w:cs="仿宋_GB2312"/>
              </w:rPr>
              <w:t xml:space="preserve">□上市公司股份、挂牌公司股份、两网公司股份及退市A股、债券等 </w:t>
            </w:r>
          </w:p>
          <w:p>
            <w:pPr>
              <w:spacing w:line="240" w:lineRule="exact"/>
              <w:rPr>
                <w:rFonts w:ascii="仿宋_GB2312" w:hAnsi="仿宋_GB2312" w:eastAsia="仿宋_GB2312" w:cs="仿宋_GB2312"/>
              </w:rPr>
            </w:pPr>
            <w:r>
              <w:rPr>
                <w:rFonts w:hint="eastAsia" w:ascii="仿宋_GB2312" w:hAnsi="仿宋_GB2312" w:eastAsia="仿宋_GB2312" w:cs="仿宋_GB2312"/>
              </w:rPr>
              <w:t xml:space="preserve">□退市B股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5000" w:type="pct"/>
            <w:gridSpan w:val="4"/>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查询内容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bookmarkStart w:id="2" w:name="OLE_LINK5"/>
            <w:bookmarkStart w:id="3" w:name="OLE_LINK6"/>
            <w:r>
              <w:rPr>
                <w:rFonts w:hint="eastAsia" w:ascii="仿宋_GB2312" w:hAnsi="仿宋_GB2312" w:eastAsia="仿宋_GB2312" w:cs="仿宋_GB2312"/>
              </w:rPr>
              <w:t>□</w:t>
            </w:r>
            <w:bookmarkEnd w:id="2"/>
            <w:bookmarkEnd w:id="3"/>
            <w:r>
              <w:rPr>
                <w:rFonts w:hint="eastAsia" w:ascii="仿宋_GB2312" w:hAnsi="仿宋_GB2312" w:eastAsia="仿宋_GB2312" w:cs="仿宋_GB2312"/>
              </w:rPr>
              <w:t>证券持有余额</w:t>
            </w:r>
          </w:p>
        </w:tc>
        <w:tc>
          <w:tcPr>
            <w:tcW w:w="3210" w:type="pct"/>
            <w:gridSpan w:val="3"/>
            <w:tcBorders>
              <w:top w:val="nil"/>
              <w:bottom w:val="nil"/>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    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□证券持有变更</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□证券冻结情况</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    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□证券冻结变更</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□衍生品合约持仓信息</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日    </w:t>
            </w:r>
          </w:p>
          <w:p>
            <w:pPr>
              <w:spacing w:beforeLines="20" w:afterLines="20" w:line="240" w:lineRule="exact"/>
              <w:rPr>
                <w:rFonts w:ascii="仿宋_GB2312" w:hAnsi="仿宋_GB2312" w:eastAsia="仿宋_GB2312" w:cs="仿宋_GB2312"/>
                <w:u w:val="single"/>
              </w:rPr>
            </w:pPr>
            <w:r>
              <w:rPr>
                <w:rFonts w:hint="eastAsia" w:ascii="仿宋_GB2312" w:hAnsi="仿宋_GB2312" w:eastAsia="仿宋_GB2312" w:cs="仿宋_GB2312"/>
              </w:rPr>
              <w:t>合约编码：</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 标的证券代码：</w:t>
            </w:r>
            <w:r>
              <w:rPr>
                <w:rFonts w:hint="eastAsia" w:ascii="仿宋_GB2312" w:hAnsi="仿宋_GB2312" w:eastAsia="仿宋_GB2312" w:cs="仿宋_GB2312"/>
                <w:u w:val="single"/>
              </w:rPr>
              <w:t xml:space="preserve">                       </w:t>
            </w:r>
          </w:p>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合约交易代码：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□衍生品合约持仓变动信息</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40" w:lineRule="exact"/>
              <w:rPr>
                <w:rFonts w:ascii="仿宋_GB2312" w:hAnsi="仿宋_GB2312" w:eastAsia="仿宋_GB2312" w:cs="仿宋_GB2312"/>
                <w:u w:val="single"/>
              </w:rPr>
            </w:pPr>
            <w:r>
              <w:rPr>
                <w:rFonts w:hint="eastAsia" w:ascii="仿宋_GB2312" w:hAnsi="仿宋_GB2312" w:eastAsia="仿宋_GB2312" w:cs="仿宋_GB2312"/>
              </w:rPr>
              <w:t>合约编码：</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 标的证券代码：</w:t>
            </w:r>
            <w:r>
              <w:rPr>
                <w:rFonts w:hint="eastAsia" w:ascii="仿宋_GB2312" w:hAnsi="仿宋_GB2312" w:eastAsia="仿宋_GB2312" w:cs="仿宋_GB2312"/>
                <w:u w:val="single"/>
              </w:rPr>
              <w:t xml:space="preserve">                       </w:t>
            </w:r>
          </w:p>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合约交易代码：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□指定交易/证券托管</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□指定交易/证券托管变更</w:t>
            </w:r>
          </w:p>
        </w:tc>
        <w:tc>
          <w:tcPr>
            <w:tcW w:w="3210" w:type="pct"/>
            <w:gridSpan w:val="3"/>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□证券账户回购登记记录</w:t>
            </w:r>
          </w:p>
          <w:p>
            <w:pPr>
              <w:spacing w:beforeLines="20" w:afterLines="20" w:line="240" w:lineRule="exact"/>
              <w:ind w:firstLine="210" w:firstLineChars="100"/>
              <w:rPr>
                <w:rFonts w:ascii="仿宋_GB2312" w:hAnsi="仿宋_GB2312" w:eastAsia="仿宋_GB2312" w:cs="仿宋_GB2312"/>
              </w:rPr>
            </w:pPr>
            <w:r>
              <w:rPr>
                <w:rFonts w:hint="eastAsia" w:ascii="仿宋_GB2312" w:hAnsi="仿宋_GB2312" w:eastAsia="仿宋_GB2312" w:cs="仿宋_GB2312"/>
              </w:rPr>
              <w:t>(仅限沪市柜台适用)</w:t>
            </w:r>
          </w:p>
        </w:tc>
        <w:tc>
          <w:tcPr>
            <w:tcW w:w="3210" w:type="pct"/>
            <w:gridSpan w:val="3"/>
            <w:tcBorders>
              <w:bottom w:val="single" w:color="000000" w:sz="4" w:space="0"/>
            </w:tcBorders>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789" w:type="pct"/>
            <w:tcBorders>
              <w:bottom w:val="single" w:color="000000" w:sz="4" w:space="0"/>
            </w:tcBorders>
            <w:vAlign w:val="center"/>
          </w:tcPr>
          <w:p>
            <w:pPr>
              <w:spacing w:beforeLines="20" w:afterLines="20" w:line="240" w:lineRule="exact"/>
              <w:rPr>
                <w:rFonts w:ascii="仿宋_GB2312" w:hAnsi="仿宋_GB2312" w:eastAsia="仿宋_GB2312" w:cs="仿宋_GB2312"/>
                <w:highlight w:val="yellow"/>
              </w:rPr>
            </w:pPr>
            <w:r>
              <w:rPr>
                <w:rFonts w:hint="eastAsia" w:ascii="仿宋_GB2312" w:hAnsi="仿宋_GB2312" w:eastAsia="仿宋_GB2312" w:cs="仿宋_GB2312"/>
              </w:rPr>
              <w:t>□沪市债券账户式回购质押物明细</w:t>
            </w:r>
          </w:p>
        </w:tc>
        <w:tc>
          <w:tcPr>
            <w:tcW w:w="3210" w:type="pct"/>
            <w:gridSpan w:val="3"/>
            <w:tcBorders>
              <w:bottom w:val="single" w:color="000000" w:sz="4" w:space="0"/>
            </w:tcBorders>
          </w:tcPr>
          <w:p>
            <w:pPr>
              <w:spacing w:beforeLines="20" w:afterLines="20" w:line="24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jc w:val="center"/>
        </w:trPr>
        <w:tc>
          <w:tcPr>
            <w:tcW w:w="5000" w:type="pct"/>
            <w:gridSpan w:val="4"/>
            <w:tcBorders>
              <w:top w:val="single" w:color="auto" w:sz="4" w:space="0"/>
            </w:tcBorders>
            <w:vAlign w:val="center"/>
          </w:tcPr>
          <w:p>
            <w:pPr>
              <w:spacing w:line="240" w:lineRule="exact"/>
              <w:rPr>
                <w:rFonts w:ascii="仿宋_GB2312" w:hAnsi="仿宋_GB2312" w:eastAsia="仿宋_GB2312" w:cs="仿宋_GB2312"/>
                <w:b/>
                <w:bCs/>
              </w:rPr>
            </w:pPr>
          </w:p>
          <w:p>
            <w:pPr>
              <w:spacing w:line="240" w:lineRule="exact"/>
              <w:rPr>
                <w:rFonts w:ascii="仿宋_GB2312" w:hAnsi="仿宋_GB2312" w:eastAsia="仿宋_GB2312" w:cs="仿宋_GB2312"/>
                <w:b/>
                <w:bCs/>
              </w:rPr>
            </w:pPr>
            <w:r>
              <w:rPr>
                <w:rFonts w:hint="eastAsia" w:ascii="仿宋_GB2312" w:hAnsi="仿宋_GB2312" w:eastAsia="仿宋_GB2312" w:cs="仿宋_GB2312"/>
                <w:b/>
                <w:bCs/>
              </w:rPr>
              <w:t>申请人声明：</w:t>
            </w:r>
          </w:p>
          <w:p>
            <w:pPr>
              <w:spacing w:line="240" w:lineRule="exact"/>
              <w:rPr>
                <w:rFonts w:ascii="仿宋_GB2312" w:hAnsi="仿宋_GB2312" w:eastAsia="仿宋_GB2312" w:cs="仿宋_GB2312"/>
                <w:color w:val="000000"/>
                <w:kern w:val="0"/>
              </w:rPr>
            </w:pPr>
          </w:p>
          <w:p>
            <w:pPr>
              <w:spacing w:line="240" w:lineRule="exact"/>
              <w:ind w:firstLine="420" w:firstLineChars="200"/>
              <w:rPr>
                <w:rFonts w:ascii="仿宋_GB2312" w:hAnsi="仿宋_GB2312" w:eastAsia="仿宋_GB2312" w:cs="仿宋_GB2312"/>
                <w:color w:val="000000"/>
                <w:kern w:val="0"/>
              </w:rPr>
            </w:pPr>
            <w:r>
              <w:rPr>
                <w:rFonts w:hint="eastAsia" w:ascii="仿宋_GB2312" w:hAnsi="仿宋_GB2312" w:eastAsia="仿宋_GB2312" w:cs="仿宋_GB2312"/>
                <w:color w:val="000000"/>
                <w:kern w:val="0"/>
              </w:rPr>
              <w:t>本申请人保证上述信息及所提供的申请材料真实、准确、完整、合法，且已知悉并按照《填表须知》填写该表格，因申请材料内容违法、违规、有误及其他原因产生的纠纷和法律责任，由本申请人承担。</w:t>
            </w:r>
          </w:p>
          <w:p>
            <w:pPr>
              <w:spacing w:line="240" w:lineRule="exact"/>
              <w:ind w:firstLine="5355" w:firstLineChars="2550"/>
              <w:rPr>
                <w:rFonts w:ascii="仿宋_GB2312" w:hAnsi="仿宋_GB2312" w:eastAsia="仿宋_GB2312" w:cs="仿宋_GB2312"/>
                <w:bCs/>
              </w:rPr>
            </w:pPr>
          </w:p>
          <w:p>
            <w:pPr>
              <w:spacing w:line="240" w:lineRule="exact"/>
              <w:ind w:firstLine="5355" w:firstLineChars="2550"/>
              <w:rPr>
                <w:rFonts w:ascii="仿宋_GB2312" w:hAnsi="仿宋_GB2312" w:eastAsia="仿宋_GB2312" w:cs="仿宋_GB2312"/>
                <w:bCs/>
              </w:rPr>
            </w:pPr>
          </w:p>
          <w:p>
            <w:pPr>
              <w:spacing w:line="240" w:lineRule="exact"/>
              <w:ind w:firstLine="2520" w:firstLineChars="1200"/>
              <w:rPr>
                <w:rFonts w:ascii="仿宋_GB2312" w:hAnsi="仿宋_GB2312" w:eastAsia="仿宋_GB2312" w:cs="仿宋_GB2312"/>
                <w:color w:val="000000"/>
                <w:kern w:val="0"/>
              </w:rPr>
            </w:pPr>
            <w:r>
              <w:rPr>
                <w:rFonts w:hint="eastAsia" w:ascii="仿宋_GB2312" w:hAnsi="仿宋_GB2312" w:eastAsia="仿宋_GB2312" w:cs="仿宋_GB2312"/>
                <w:bCs/>
              </w:rPr>
              <w:t>申请人（或其委托的经办人）签字或签章：</w:t>
            </w:r>
            <w:r>
              <w:rPr>
                <w:rFonts w:hint="eastAsia" w:ascii="仿宋_GB2312" w:hAnsi="仿宋_GB2312" w:eastAsia="仿宋_GB2312" w:cs="仿宋_GB2312"/>
                <w:u w:val="single"/>
              </w:rPr>
              <w:t xml:space="preserve">                          </w:t>
            </w:r>
            <w:r>
              <w:rPr>
                <w:rFonts w:hint="eastAsia" w:ascii="仿宋_GB2312" w:hAnsi="仿宋_GB2312" w:eastAsia="仿宋_GB2312" w:cs="仿宋_GB2312"/>
                <w:bCs/>
              </w:rPr>
              <w:t xml:space="preserve">             </w:t>
            </w:r>
          </w:p>
          <w:p>
            <w:pPr>
              <w:spacing w:line="240" w:lineRule="exact"/>
              <w:ind w:firstLine="2520" w:firstLineChars="1200"/>
              <w:rPr>
                <w:rFonts w:ascii="仿宋_GB2312" w:hAnsi="仿宋_GB2312" w:eastAsia="仿宋_GB2312" w:cs="仿宋_GB2312"/>
                <w:bCs/>
              </w:rPr>
            </w:pPr>
            <w:r>
              <w:rPr>
                <w:rFonts w:hint="eastAsia" w:ascii="仿宋_GB2312" w:hAnsi="仿宋_GB2312" w:eastAsia="仿宋_GB2312" w:cs="仿宋_GB2312"/>
                <w:bCs/>
              </w:rPr>
              <w:t>申请人（或其委托的经办人）联系电话：</w:t>
            </w:r>
            <w:r>
              <w:rPr>
                <w:rFonts w:hint="eastAsia" w:ascii="仿宋_GB2312" w:hAnsi="仿宋_GB2312" w:eastAsia="仿宋_GB2312" w:cs="仿宋_GB2312"/>
                <w:u w:val="single"/>
              </w:rPr>
              <w:t xml:space="preserve">                            </w:t>
            </w:r>
          </w:p>
          <w:p>
            <w:pPr>
              <w:spacing w:line="240" w:lineRule="exact"/>
              <w:ind w:firstLine="2520" w:firstLineChars="1200"/>
              <w:rPr>
                <w:rFonts w:ascii="仿宋_GB2312" w:hAnsi="仿宋_GB2312" w:eastAsia="仿宋_GB2312" w:cs="仿宋_GB2312"/>
              </w:rPr>
            </w:pPr>
            <w:r>
              <w:rPr>
                <w:rFonts w:hint="eastAsia" w:ascii="仿宋_GB2312" w:hAnsi="仿宋_GB2312" w:eastAsia="仿宋_GB2312" w:cs="仿宋_GB2312"/>
                <w:bCs/>
              </w:rPr>
              <w:t>申请日期：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line="240" w:lineRule="exact"/>
              <w:rPr>
                <w:rFonts w:ascii="仿宋_GB2312" w:hAnsi="仿宋_GB2312" w:eastAsia="仿宋_GB2312" w:cs="仿宋_GB2312"/>
                <w:bCs/>
              </w:rPr>
            </w:pPr>
          </w:p>
        </w:tc>
      </w:tr>
    </w:tbl>
    <w:p>
      <w:pPr>
        <w:spacing w:line="240" w:lineRule="auto"/>
        <w:jc w:val="left"/>
        <w:rPr>
          <w:rFonts w:ascii="仿宋_GB2312" w:eastAsia="仿宋_GB2312" w:cs="Times New Roman"/>
          <w:b/>
          <w:bCs/>
          <w:sz w:val="32"/>
          <w:szCs w:val="32"/>
        </w:rPr>
      </w:pPr>
      <w:r>
        <w:rPr>
          <w:rFonts w:hint="eastAsia" w:ascii="仿宋_GB2312" w:eastAsia="仿宋_GB2312" w:cs="Times New Roman"/>
          <w:b/>
          <w:bCs/>
          <w:sz w:val="32"/>
          <w:szCs w:val="32"/>
        </w:rPr>
        <w:br w:type="page"/>
      </w:r>
    </w:p>
    <w:p>
      <w:pPr>
        <w:jc w:val="center"/>
        <w:rPr>
          <w:rFonts w:ascii="仿宋_GB2312" w:eastAsia="仿宋_GB2312" w:cs="Times New Roman"/>
          <w:b/>
          <w:bCs/>
          <w:sz w:val="32"/>
          <w:szCs w:val="32"/>
        </w:rPr>
      </w:pPr>
      <w:r>
        <w:rPr>
          <w:rFonts w:hint="eastAsia" w:ascii="仿宋_GB2312" w:eastAsia="仿宋_GB2312" w:cs="Times New Roman"/>
          <w:b/>
          <w:bCs/>
          <w:sz w:val="32"/>
          <w:szCs w:val="32"/>
        </w:rPr>
        <w:t>填表须知</w:t>
      </w:r>
      <w:bookmarkEnd w:id="1"/>
    </w:p>
    <w:p>
      <w:pPr>
        <w:numPr>
          <w:ilvl w:val="0"/>
          <w:numId w:val="1"/>
        </w:numPr>
        <w:spacing w:line="38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color w:val="000000"/>
          <w:sz w:val="24"/>
          <w:szCs w:val="24"/>
        </w:rPr>
        <w:t>本申请表适用于在中国证券登记结算有限责任公司（以下简称“中国结算”）营业大厅办理证券查询业务。</w:t>
      </w:r>
      <w:r>
        <w:rPr>
          <w:rFonts w:hint="eastAsia" w:ascii="仿宋_GB2312" w:hAnsi="仿宋_GB2312" w:eastAsia="仿宋_GB2312" w:cs="仿宋_GB2312"/>
          <w:sz w:val="24"/>
          <w:szCs w:val="24"/>
        </w:rPr>
        <w:t>申请人及其委托的经办人在申请办理证券查询业务前，应当仔细阅读本须知及申请表。申请人或其委托的经办人签署申请表后，表示其已经认真阅读并同意接受本须知条款。对于拒绝签署申请表的申请人或其委托的经办人，中国结算有权拒绝为其办理证券查询业务。</w:t>
      </w:r>
    </w:p>
    <w:p>
      <w:pPr>
        <w:numPr>
          <w:ilvl w:val="0"/>
          <w:numId w:val="1"/>
        </w:num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t>关于</w:t>
      </w:r>
      <w:r>
        <w:rPr>
          <w:rFonts w:hint="eastAsia" w:ascii="仿宋_GB2312" w:hAnsi="仿宋_GB2312" w:eastAsia="仿宋_GB2312" w:cs="仿宋_GB2312"/>
          <w:color w:val="000000"/>
          <w:sz w:val="24"/>
          <w:szCs w:val="24"/>
        </w:rPr>
        <w:t>“申请人（或其委托的经办人）签字或签章”的填写说明：</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（1）自然人投资者填写时，本人查询的，填写本人姓名；委托他人代办的，填写经公证的授权委托书注明的经办人姓名；投资者死亡的，填写办理证券查询的继承人姓名。</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（2）机构投资者填写时，填写授权委托书注明的经办人姓名。法人及非法人组织终止的，填写出资人、承继人、清算组、破产管理人等其中一方授权委托书注明的经办人姓名。</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r>
        <w:rPr>
          <w:rFonts w:hint="eastAsia" w:ascii="仿宋_GB2312" w:hAnsi="仿宋_GB2312" w:eastAsia="仿宋_GB2312" w:cs="仿宋_GB2312"/>
          <w:sz w:val="24"/>
          <w:szCs w:val="24"/>
        </w:rPr>
        <w:t>产品投资者填写时，</w:t>
      </w:r>
      <w:r>
        <w:rPr>
          <w:rFonts w:hint="eastAsia" w:ascii="仿宋_GB2312" w:hAnsi="仿宋_GB2312" w:eastAsia="仿宋_GB2312" w:cs="仿宋_GB2312"/>
          <w:color w:val="000000"/>
          <w:sz w:val="24"/>
          <w:szCs w:val="24"/>
        </w:rPr>
        <w:t>填写产品管理人或托管人授权委托书注明的经办人姓名。</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 关于“查询内容”的填写说明：</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（1）可申请查询一项或多项，并填写对应的查询范围。</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（2）同一证券账户查询多个时点信息的，在“查询日期”或“查询期限”处列明查询时点，填写一份申请表即可。</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（3）同一机构名下有多个证券账户且查询内容相同的，附上加盖机构公章的证券账户清单，填写一份申请表即可。</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t>（4）</w:t>
      </w:r>
      <w:r>
        <w:rPr>
          <w:rFonts w:hint="eastAsia" w:ascii="仿宋_GB2312" w:hAnsi="仿宋_GB2312" w:eastAsia="仿宋_GB2312" w:cs="仿宋_GB2312"/>
          <w:color w:val="000000"/>
          <w:sz w:val="24"/>
          <w:szCs w:val="24"/>
        </w:rPr>
        <w:t>同一产品名下有多个证券账户且查询内容相同的，附上加盖产品管理人或托管人公章的证券账户清单，填写一份申请表即可。</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 证券查询业务不收取费用。</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 因不可抗力而引起的业务办理错误，中国结算及其委托的投资者证券登记业务代理机构不承担任何责任。</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 中国结算修订证券查询业务规则及本须知时，通过公告方式进行提示，不再另行告知申请人</w:t>
      </w:r>
      <w:r>
        <w:rPr>
          <w:rFonts w:hint="eastAsia" w:ascii="仿宋_GB2312" w:hAnsi="仿宋_GB2312" w:eastAsia="仿宋_GB2312" w:cs="仿宋_GB2312"/>
          <w:sz w:val="24"/>
          <w:szCs w:val="24"/>
        </w:rPr>
        <w:t>或其委托的经办人</w:t>
      </w:r>
      <w:r>
        <w:rPr>
          <w:rFonts w:hint="eastAsia" w:ascii="仿宋_GB2312" w:hAnsi="仿宋_GB2312" w:eastAsia="仿宋_GB2312" w:cs="仿宋_GB2312"/>
          <w:color w:val="000000"/>
          <w:sz w:val="24"/>
          <w:szCs w:val="24"/>
        </w:rPr>
        <w:t>。申请人</w:t>
      </w:r>
      <w:r>
        <w:rPr>
          <w:rFonts w:hint="eastAsia" w:ascii="仿宋_GB2312" w:hAnsi="仿宋_GB2312" w:eastAsia="仿宋_GB2312" w:cs="仿宋_GB2312"/>
          <w:sz w:val="24"/>
          <w:szCs w:val="24"/>
        </w:rPr>
        <w:t>及其委托的经办人</w:t>
      </w:r>
      <w:r>
        <w:rPr>
          <w:rFonts w:hint="eastAsia" w:ascii="仿宋_GB2312" w:hAnsi="仿宋_GB2312" w:eastAsia="仿宋_GB2312" w:cs="仿宋_GB2312"/>
          <w:color w:val="000000"/>
          <w:sz w:val="24"/>
          <w:szCs w:val="24"/>
        </w:rPr>
        <w:t>应当按照修订后的业务规则及须知执行。</w:t>
      </w:r>
    </w:p>
    <w:p>
      <w:pPr>
        <w:spacing w:line="38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 中国结算是根据《中华人民共和国证券法》《证券登记结算管理办法》履行证券登记、存管与结算等法定职能的证券登记结算机构。为履行法定职责、开展证券登记结算业务之需要，中国结算将根据相关法律法规、业务规则和监管部门的要求，处理本申请表中收集的相关个人信息，包括应司法和监察等有权机关要求向其提供相关个人信息。中国结算将在实现处理目的所必要的最小范围内收集和使用该等个人信息。在业务开展过程中，中国结算将严格遵循《中华人民共和国网络安全法》《中华人民共和国数据安全法》《中华人民共和国个人信息保护法》等数据保护相关的法律法规和标准指引，采取合理可行的措施保护个人信息安全。相关个人信息主体对于中国结算处理个人信息有任何问题、意见或建议，请拨打业务咨询电话：4008-058-058。</w:t>
      </w:r>
    </w:p>
    <w:p>
      <w:pPr>
        <w:spacing w:line="38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color w:val="000000"/>
          <w:sz w:val="24"/>
          <w:szCs w:val="24"/>
        </w:rPr>
        <w:t>8. 中国结算对本申请表享有最终解释权。</w:t>
      </w:r>
    </w:p>
    <w:p>
      <w:pPr>
        <w:spacing w:line="380" w:lineRule="exact"/>
        <w:rPr>
          <w:rFonts w:hint="eastAsia" w:ascii="仿宋_GB2312" w:eastAsia="宋体" w:cs="仿宋_GB2312"/>
          <w:color w:val="000000"/>
          <w:lang w:val="en-US" w:eastAsia="zh-CN"/>
        </w:rPr>
      </w:pPr>
      <w:bookmarkStart w:id="4" w:name="_GoBack"/>
      <w:bookmarkEnd w:id="4"/>
    </w:p>
    <w:sectPr>
      <w:footerReference r:id="rId3" w:type="default"/>
      <w:pgSz w:w="11906" w:h="16838"/>
      <w:pgMar w:top="284" w:right="1276" w:bottom="284" w:left="1276" w:header="851" w:footer="28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rPr>
        <w:lang w:val="zh-CN"/>
      </w:rPr>
      <w:t>6</w: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F5EAFB"/>
    <w:multiLevelType w:val="singleLevel"/>
    <w:tmpl w:val="EAF5EAF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3YTQ3YzMyMGM4MzI1MThmODVlNTBhMDlhMDk3YjgifQ=="/>
  </w:docVars>
  <w:rsids>
    <w:rsidRoot w:val="4C472660"/>
    <w:rsid w:val="00054762"/>
    <w:rsid w:val="00270BFC"/>
    <w:rsid w:val="003B5D72"/>
    <w:rsid w:val="00472807"/>
    <w:rsid w:val="00563829"/>
    <w:rsid w:val="005A42AD"/>
    <w:rsid w:val="00666361"/>
    <w:rsid w:val="00856CDB"/>
    <w:rsid w:val="0087367F"/>
    <w:rsid w:val="008E25DA"/>
    <w:rsid w:val="008F5456"/>
    <w:rsid w:val="00920FC3"/>
    <w:rsid w:val="00932876"/>
    <w:rsid w:val="009911D4"/>
    <w:rsid w:val="00A53068"/>
    <w:rsid w:val="00B7005E"/>
    <w:rsid w:val="00B94E55"/>
    <w:rsid w:val="00BF20DB"/>
    <w:rsid w:val="00CA475C"/>
    <w:rsid w:val="00CC5F62"/>
    <w:rsid w:val="00D0412F"/>
    <w:rsid w:val="00D361B1"/>
    <w:rsid w:val="00EE20FC"/>
    <w:rsid w:val="00F04A71"/>
    <w:rsid w:val="00F1329C"/>
    <w:rsid w:val="00F741DB"/>
    <w:rsid w:val="01A96179"/>
    <w:rsid w:val="03C341F2"/>
    <w:rsid w:val="04044AB4"/>
    <w:rsid w:val="06781B41"/>
    <w:rsid w:val="075B05AB"/>
    <w:rsid w:val="083E6DD4"/>
    <w:rsid w:val="0C2C1FF7"/>
    <w:rsid w:val="0D237DD2"/>
    <w:rsid w:val="0DBB68FF"/>
    <w:rsid w:val="14A5621F"/>
    <w:rsid w:val="1565296D"/>
    <w:rsid w:val="15DA327B"/>
    <w:rsid w:val="17C952B2"/>
    <w:rsid w:val="18454D05"/>
    <w:rsid w:val="1A5A0437"/>
    <w:rsid w:val="1CAE6B7B"/>
    <w:rsid w:val="209F57C3"/>
    <w:rsid w:val="229740D4"/>
    <w:rsid w:val="22EB2AD0"/>
    <w:rsid w:val="23831314"/>
    <w:rsid w:val="23957819"/>
    <w:rsid w:val="25BB57BA"/>
    <w:rsid w:val="280572A7"/>
    <w:rsid w:val="295B70FE"/>
    <w:rsid w:val="2D065991"/>
    <w:rsid w:val="2DA84CFF"/>
    <w:rsid w:val="2DF67716"/>
    <w:rsid w:val="2FEB0EFC"/>
    <w:rsid w:val="32E71FE4"/>
    <w:rsid w:val="3310749B"/>
    <w:rsid w:val="33422208"/>
    <w:rsid w:val="34B55C3C"/>
    <w:rsid w:val="35205524"/>
    <w:rsid w:val="35262459"/>
    <w:rsid w:val="357246EF"/>
    <w:rsid w:val="35D52C58"/>
    <w:rsid w:val="35F81365"/>
    <w:rsid w:val="37FD4A4F"/>
    <w:rsid w:val="384E66DE"/>
    <w:rsid w:val="38597D06"/>
    <w:rsid w:val="385A46DD"/>
    <w:rsid w:val="39CB6DA9"/>
    <w:rsid w:val="3B24528E"/>
    <w:rsid w:val="3B2C1474"/>
    <w:rsid w:val="3B7F11AC"/>
    <w:rsid w:val="3BBB57BD"/>
    <w:rsid w:val="3F60697C"/>
    <w:rsid w:val="3F6822BC"/>
    <w:rsid w:val="3FBA310B"/>
    <w:rsid w:val="402712BC"/>
    <w:rsid w:val="403A18E7"/>
    <w:rsid w:val="41CC4B69"/>
    <w:rsid w:val="42095E33"/>
    <w:rsid w:val="44231062"/>
    <w:rsid w:val="44897DA4"/>
    <w:rsid w:val="44B775A5"/>
    <w:rsid w:val="459B5DFD"/>
    <w:rsid w:val="45B54CAB"/>
    <w:rsid w:val="45D93353"/>
    <w:rsid w:val="45FE2553"/>
    <w:rsid w:val="47B8744D"/>
    <w:rsid w:val="485B01F7"/>
    <w:rsid w:val="489D000E"/>
    <w:rsid w:val="4A2B53BF"/>
    <w:rsid w:val="4AC62C7B"/>
    <w:rsid w:val="4C472660"/>
    <w:rsid w:val="4CEA30AC"/>
    <w:rsid w:val="4DAF66EA"/>
    <w:rsid w:val="4E134ACD"/>
    <w:rsid w:val="4E715B8D"/>
    <w:rsid w:val="50185E9D"/>
    <w:rsid w:val="51636E68"/>
    <w:rsid w:val="52A74A2C"/>
    <w:rsid w:val="52B62F9F"/>
    <w:rsid w:val="530230BD"/>
    <w:rsid w:val="549A49E9"/>
    <w:rsid w:val="5503063F"/>
    <w:rsid w:val="57C2150D"/>
    <w:rsid w:val="5990441E"/>
    <w:rsid w:val="5A75566E"/>
    <w:rsid w:val="5B482926"/>
    <w:rsid w:val="5CEB556E"/>
    <w:rsid w:val="5D830F50"/>
    <w:rsid w:val="5D9C267F"/>
    <w:rsid w:val="5E874B29"/>
    <w:rsid w:val="5EB4631B"/>
    <w:rsid w:val="5EFC3B0F"/>
    <w:rsid w:val="606E6CE4"/>
    <w:rsid w:val="612E0FD2"/>
    <w:rsid w:val="62A639C5"/>
    <w:rsid w:val="64AC5FA9"/>
    <w:rsid w:val="64C82F33"/>
    <w:rsid w:val="6534525A"/>
    <w:rsid w:val="65F91D98"/>
    <w:rsid w:val="66B45BC9"/>
    <w:rsid w:val="68E27663"/>
    <w:rsid w:val="6A1D29A9"/>
    <w:rsid w:val="6A4D0C1B"/>
    <w:rsid w:val="6D6260E8"/>
    <w:rsid w:val="6EBD427E"/>
    <w:rsid w:val="6EE56073"/>
    <w:rsid w:val="6F8014B8"/>
    <w:rsid w:val="72027FF0"/>
    <w:rsid w:val="73976E26"/>
    <w:rsid w:val="75031C4C"/>
    <w:rsid w:val="79666605"/>
    <w:rsid w:val="7C3B2E54"/>
    <w:rsid w:val="7DC207DB"/>
    <w:rsid w:val="7FEF6D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宋体" w:cs="Calibri"/>
      <w:kern w:val="2"/>
      <w:sz w:val="21"/>
      <w:szCs w:val="21"/>
      <w:lang w:val="en-US" w:eastAsia="zh-CN" w:bidi="ar-SA"/>
    </w:rPr>
  </w:style>
  <w:style w:type="paragraph" w:styleId="2">
    <w:name w:val="heading 1"/>
    <w:basedOn w:val="1"/>
    <w:next w:val="1"/>
    <w:qFormat/>
    <w:uiPriority w:val="99"/>
    <w:pPr>
      <w:keepNext/>
      <w:keepLines/>
      <w:spacing w:before="340" w:after="330" w:line="360" w:lineRule="auto"/>
      <w:jc w:val="center"/>
      <w:outlineLvl w:val="0"/>
    </w:pPr>
    <w:rPr>
      <w:b/>
      <w:bCs/>
      <w:kern w:val="44"/>
      <w:sz w:val="44"/>
      <w:szCs w:val="4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alloon Text"/>
    <w:basedOn w:val="1"/>
    <w:link w:val="14"/>
    <w:qFormat/>
    <w:uiPriority w:val="0"/>
    <w:pPr>
      <w:spacing w:line="240" w:lineRule="auto"/>
    </w:pPr>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annotation subject"/>
    <w:basedOn w:val="3"/>
    <w:next w:val="3"/>
    <w:link w:val="16"/>
    <w:qFormat/>
    <w:uiPriority w:val="0"/>
    <w:rPr>
      <w:b/>
      <w:bCs/>
    </w:rPr>
  </w:style>
  <w:style w:type="character" w:styleId="11">
    <w:name w:val="FollowedHyperlink"/>
    <w:basedOn w:val="10"/>
    <w:qFormat/>
    <w:uiPriority w:val="0"/>
    <w:rPr>
      <w:color w:val="800080"/>
      <w:u w:val="single"/>
    </w:rPr>
  </w:style>
  <w:style w:type="character" w:styleId="12">
    <w:name w:val="annotation reference"/>
    <w:basedOn w:val="10"/>
    <w:qFormat/>
    <w:uiPriority w:val="0"/>
    <w:rPr>
      <w:sz w:val="21"/>
      <w:szCs w:val="21"/>
    </w:rPr>
  </w:style>
  <w:style w:type="paragraph" w:customStyle="1" w:styleId="13">
    <w:name w:val="WPSOffice手动目录 1"/>
    <w:qFormat/>
    <w:uiPriority w:val="0"/>
    <w:rPr>
      <w:rFonts w:asciiTheme="minorHAnsi" w:hAnsiTheme="minorHAnsi" w:eastAsiaTheme="minorEastAsia" w:cstheme="minorBidi"/>
      <w:lang w:val="en-US" w:eastAsia="zh-CN" w:bidi="ar-SA"/>
    </w:rPr>
  </w:style>
  <w:style w:type="character" w:customStyle="1" w:styleId="14">
    <w:name w:val="批注框文本 Char"/>
    <w:basedOn w:val="10"/>
    <w:link w:val="4"/>
    <w:qFormat/>
    <w:uiPriority w:val="0"/>
    <w:rPr>
      <w:rFonts w:ascii="Times New Roman" w:hAnsi="Times New Roman" w:eastAsia="宋体" w:cs="Calibri"/>
      <w:kern w:val="2"/>
      <w:sz w:val="18"/>
      <w:szCs w:val="18"/>
    </w:rPr>
  </w:style>
  <w:style w:type="character" w:customStyle="1" w:styleId="15">
    <w:name w:val="批注文字 Char"/>
    <w:basedOn w:val="10"/>
    <w:link w:val="3"/>
    <w:qFormat/>
    <w:uiPriority w:val="0"/>
    <w:rPr>
      <w:rFonts w:ascii="Times New Roman" w:hAnsi="Times New Roman" w:eastAsia="宋体" w:cs="Calibri"/>
      <w:kern w:val="2"/>
      <w:sz w:val="21"/>
      <w:szCs w:val="21"/>
    </w:rPr>
  </w:style>
  <w:style w:type="character" w:customStyle="1" w:styleId="16">
    <w:name w:val="批注主题 Char"/>
    <w:basedOn w:val="15"/>
    <w:link w:val="8"/>
    <w:qFormat/>
    <w:uiPriority w:val="0"/>
    <w:rPr>
      <w:rFonts w:ascii="Times New Roman" w:hAnsi="Times New Roman" w:eastAsia="宋体" w:cs="Calibri"/>
      <w:b/>
      <w:bCs/>
      <w:kern w:val="2"/>
      <w:sz w:val="21"/>
      <w:szCs w:val="21"/>
    </w:rPr>
  </w:style>
  <w:style w:type="paragraph" w:customStyle="1" w:styleId="17">
    <w:name w:val="修订1"/>
    <w:hidden/>
    <w:semiHidden/>
    <w:qFormat/>
    <w:uiPriority w:val="99"/>
    <w:rPr>
      <w:rFonts w:ascii="Times New Roman" w:hAnsi="Times New Roman"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1190</Words>
  <Characters>6784</Characters>
  <Lines>56</Lines>
  <Paragraphs>15</Paragraphs>
  <TotalTime>30</TotalTime>
  <ScaleCrop>false</ScaleCrop>
  <LinksUpToDate>false</LinksUpToDate>
  <CharactersWithSpaces>7959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2022-11-03T09:05:00Z</dcterms:created>
  <dc:creator>李宇佳/账户业务部/公司总部/ChinaClear</dc:creator>
  <cp:lastModifiedBy>user</cp:lastModifiedBy>
  <dcterms:modified xsi:type="dcterms:W3CDTF">2024-08-02T03:31:12Z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08AE74EBB1F3453B8C60736E849E01CA</vt:lpwstr>
  </property>
</Properties>
</file>